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METRYCZKA ZAJĘĆ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OBOWIĄZKOWYCH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DODATKOWYCH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roku szkolnym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-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6990"/>
        <w:tblGridChange w:id="0">
          <w:tblGrid>
            <w:gridCol w:w="2250"/>
            <w:gridCol w:w="6990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stopień awansu zawodowego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rodzaj umowy o pracę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wychowawstwo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rodzaj prowadzonej dokumentacji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dodatkowe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trHeight w:val="13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badania , diagnozy postępów uczniów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opieka nad pracownią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4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4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realizacji zadań statutowych szkoły (art. 42)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Ilość godzin w semestrze z podziałem na rodzaj zajęć</w:t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organizacji uroczystości, apeli i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dyżury na przerwach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zalecane formy doskonalenia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godziny konsultacji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Samoocena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uzupełniany</w:t>
              <w:br w:type="textWrapping"/>
              <w:t xml:space="preserve">w czerwcu)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………………………………                                                          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/podpis nauczyciela /                                                                                                         /podpis dyrektora/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Deklaracje nauczyciela o chęci udziału w dodatkowych działaniach: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8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